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69B8F" w14:textId="52E990D4" w:rsidR="00727EB3" w:rsidRPr="00A57AB9" w:rsidRDefault="00681FE7" w:rsidP="00093A9A">
      <w:pPr>
        <w:tabs>
          <w:tab w:val="left" w:pos="9450"/>
          <w:tab w:val="left" w:pos="9540"/>
          <w:tab w:val="left" w:pos="9720"/>
        </w:tabs>
        <w:ind w:right="180"/>
        <w:jc w:val="center"/>
        <w:rPr>
          <w:rFonts w:ascii="Sylfaen" w:hAnsi="Sylfaen"/>
          <w:b/>
          <w:sz w:val="20"/>
          <w:lang w:val="ka-GE"/>
        </w:rPr>
      </w:pPr>
      <w:r w:rsidRPr="00A57AB9">
        <w:rPr>
          <w:rFonts w:ascii="Sylfaen" w:hAnsi="Sylfaen"/>
          <w:b/>
          <w:sz w:val="20"/>
          <w:lang w:val="ka-GE"/>
        </w:rPr>
        <w:t>უძრავი ქონების წინარე ნასყიდობის ხელშეკრულება</w:t>
      </w:r>
    </w:p>
    <w:p w14:paraId="6F615B3A" w14:textId="721F8D67" w:rsidR="00681FE7" w:rsidRPr="00A57AB9" w:rsidRDefault="00681FE7" w:rsidP="00093A9A">
      <w:pPr>
        <w:tabs>
          <w:tab w:val="left" w:pos="9450"/>
          <w:tab w:val="left" w:pos="9540"/>
          <w:tab w:val="left" w:pos="9720"/>
        </w:tabs>
        <w:ind w:right="180"/>
        <w:jc w:val="both"/>
        <w:rPr>
          <w:rFonts w:ascii="Sylfaen" w:hAnsi="Sylfaen"/>
          <w:sz w:val="20"/>
          <w:lang w:val="ka-GE"/>
        </w:rPr>
      </w:pPr>
      <w:r w:rsidRPr="00A57AB9">
        <w:rPr>
          <w:rFonts w:ascii="Sylfaen" w:hAnsi="Sylfaen"/>
          <w:sz w:val="20"/>
          <w:lang w:val="ka-GE"/>
        </w:rPr>
        <w:t xml:space="preserve">ქ. </w:t>
      </w:r>
      <w:r w:rsidRPr="00626C5C">
        <w:rPr>
          <w:rFonts w:ascii="Sylfaen" w:hAnsi="Sylfaen"/>
          <w:sz w:val="20"/>
          <w:highlight w:val="yellow"/>
          <w:lang w:val="ka-GE"/>
        </w:rPr>
        <w:t>თბილისი</w:t>
      </w:r>
      <w:r w:rsidRPr="00A57AB9">
        <w:rPr>
          <w:rFonts w:ascii="Sylfaen" w:hAnsi="Sylfaen"/>
          <w:sz w:val="20"/>
          <w:lang w:val="ka-GE"/>
        </w:rPr>
        <w:t xml:space="preserve">                                                                                                           </w:t>
      </w:r>
      <w:r w:rsidR="00A57AB9">
        <w:rPr>
          <w:rFonts w:ascii="Sylfaen" w:hAnsi="Sylfaen"/>
          <w:sz w:val="20"/>
          <w:lang w:val="ka-GE"/>
        </w:rPr>
        <w:t xml:space="preserve">                  </w:t>
      </w:r>
      <w:r w:rsidRPr="00A57AB9">
        <w:rPr>
          <w:rFonts w:ascii="Sylfaen" w:hAnsi="Sylfaen"/>
          <w:sz w:val="20"/>
          <w:lang w:val="ka-GE"/>
        </w:rPr>
        <w:t xml:space="preserve">                  </w:t>
      </w:r>
      <w:r w:rsidR="00626C5C" w:rsidRPr="00626C5C">
        <w:rPr>
          <w:rFonts w:ascii="Sylfaen" w:hAnsi="Sylfaen"/>
          <w:sz w:val="20"/>
          <w:highlight w:val="yellow"/>
          <w:lang w:val="ka-GE"/>
        </w:rPr>
        <w:t>დღე/თვე/წელი</w:t>
      </w:r>
    </w:p>
    <w:p w14:paraId="5E26C57E" w14:textId="02E76BBD" w:rsidR="00681FE7" w:rsidRPr="00A57AB9" w:rsidRDefault="00626C5C" w:rsidP="00093A9A">
      <w:pPr>
        <w:tabs>
          <w:tab w:val="left" w:pos="9450"/>
          <w:tab w:val="left" w:pos="9540"/>
          <w:tab w:val="left" w:pos="9720"/>
        </w:tabs>
        <w:ind w:right="180"/>
        <w:jc w:val="both"/>
        <w:rPr>
          <w:rFonts w:ascii="Sylfaen" w:hAnsi="Sylfaen"/>
          <w:sz w:val="20"/>
          <w:lang w:val="ka-GE"/>
        </w:rPr>
      </w:pPr>
      <w:r>
        <w:rPr>
          <w:rFonts w:ascii="Sylfaen" w:hAnsi="Sylfaen"/>
          <w:sz w:val="20"/>
          <w:lang w:val="ka-GE"/>
        </w:rPr>
        <w:t xml:space="preserve">       </w:t>
      </w:r>
      <w:r w:rsidR="00E80B1E" w:rsidRPr="00A57AB9">
        <w:rPr>
          <w:rFonts w:ascii="Sylfaen" w:hAnsi="Sylfaen"/>
          <w:sz w:val="20"/>
          <w:lang w:val="ka-GE"/>
        </w:rPr>
        <w:t xml:space="preserve"> </w:t>
      </w:r>
      <w:r w:rsidR="00681FE7" w:rsidRPr="00A57AB9">
        <w:rPr>
          <w:rFonts w:ascii="Sylfaen" w:hAnsi="Sylfaen"/>
          <w:sz w:val="20"/>
          <w:lang w:val="ka-GE"/>
        </w:rPr>
        <w:t xml:space="preserve">ერთი მხრივ, </w:t>
      </w:r>
      <w:r w:rsidRPr="00D97039">
        <w:rPr>
          <w:rFonts w:ascii="Sylfaen" w:hAnsi="Sylfaen"/>
          <w:b/>
          <w:sz w:val="20"/>
          <w:szCs w:val="20"/>
          <w:highlight w:val="yellow"/>
          <w:lang w:val="ka-GE"/>
        </w:rPr>
        <w:t>სახელი/გვარი პ/ნ ----</w:t>
      </w:r>
      <w:r>
        <w:rPr>
          <w:rFonts w:ascii="Sylfaen" w:hAnsi="Sylfaen"/>
          <w:sz w:val="20"/>
          <w:szCs w:val="20"/>
          <w:lang w:val="ka-GE"/>
        </w:rPr>
        <w:t>,</w:t>
      </w:r>
      <w:r w:rsidR="007E5FB4" w:rsidRPr="00A57AB9">
        <w:rPr>
          <w:rFonts w:ascii="Sylfaen" w:hAnsi="Sylfaen"/>
          <w:sz w:val="20"/>
          <w:lang w:val="ka-GE"/>
        </w:rPr>
        <w:t xml:space="preserve"> შემდეგში წოდებული როგორც</w:t>
      </w:r>
      <w:r w:rsidR="00E80B1E" w:rsidRPr="00A57AB9">
        <w:rPr>
          <w:rFonts w:ascii="Sylfaen" w:hAnsi="Sylfaen"/>
          <w:sz w:val="20"/>
          <w:lang w:val="ka-GE"/>
        </w:rPr>
        <w:t xml:space="preserve"> </w:t>
      </w:r>
      <w:r w:rsidR="007E5FB4" w:rsidRPr="00A57AB9">
        <w:rPr>
          <w:rFonts w:ascii="Sylfaen" w:hAnsi="Sylfaen"/>
          <w:sz w:val="20"/>
          <w:lang w:val="ka-GE"/>
        </w:rPr>
        <w:t>„გამყიდველი“</w:t>
      </w:r>
      <w:r w:rsidR="00551824" w:rsidRPr="00A57AB9">
        <w:rPr>
          <w:rFonts w:ascii="Sylfaen" w:hAnsi="Sylfaen"/>
          <w:sz w:val="20"/>
          <w:lang w:val="ka-GE"/>
        </w:rPr>
        <w:t>, ხოლო</w:t>
      </w:r>
    </w:p>
    <w:p w14:paraId="19D3BA66" w14:textId="685B5F74" w:rsidR="00626C5C" w:rsidRDefault="00626C5C" w:rsidP="00093A9A">
      <w:pPr>
        <w:tabs>
          <w:tab w:val="left" w:pos="9450"/>
          <w:tab w:val="left" w:pos="9540"/>
          <w:tab w:val="left" w:pos="9720"/>
        </w:tabs>
        <w:ind w:right="180"/>
        <w:jc w:val="both"/>
        <w:rPr>
          <w:rFonts w:ascii="Sylfaen" w:hAnsi="Sylfaen"/>
          <w:sz w:val="20"/>
          <w:lang w:val="ka-GE"/>
        </w:rPr>
      </w:pPr>
      <w:r>
        <w:rPr>
          <w:rFonts w:ascii="Sylfaen" w:hAnsi="Sylfaen"/>
          <w:sz w:val="20"/>
          <w:lang w:val="ka-GE"/>
        </w:rPr>
        <w:t xml:space="preserve">       </w:t>
      </w:r>
      <w:r w:rsidR="008A3188">
        <w:rPr>
          <w:rFonts w:ascii="Sylfaen" w:hAnsi="Sylfaen"/>
          <w:sz w:val="20"/>
          <w:lang w:val="ka-GE"/>
        </w:rPr>
        <w:t xml:space="preserve"> </w:t>
      </w:r>
      <w:r w:rsidR="00551824" w:rsidRPr="00A57AB9">
        <w:rPr>
          <w:rFonts w:ascii="Sylfaen" w:hAnsi="Sylfaen"/>
          <w:sz w:val="20"/>
          <w:lang w:val="ka-GE"/>
        </w:rPr>
        <w:t xml:space="preserve">მეორე მხრივ, </w:t>
      </w:r>
      <w:r w:rsidRPr="00D97039">
        <w:rPr>
          <w:rFonts w:ascii="Sylfaen" w:hAnsi="Sylfaen"/>
          <w:b/>
          <w:sz w:val="20"/>
          <w:szCs w:val="20"/>
          <w:highlight w:val="yellow"/>
          <w:lang w:val="ka-GE"/>
        </w:rPr>
        <w:t>სახელი/გვარი პ/ნ ----</w:t>
      </w:r>
      <w:r>
        <w:rPr>
          <w:rFonts w:ascii="Sylfaen" w:hAnsi="Sylfaen"/>
          <w:sz w:val="20"/>
          <w:szCs w:val="20"/>
          <w:lang w:val="ka-GE"/>
        </w:rPr>
        <w:t xml:space="preserve">, </w:t>
      </w:r>
      <w:r w:rsidR="00551824" w:rsidRPr="00A57AB9">
        <w:rPr>
          <w:rFonts w:ascii="Sylfaen" w:hAnsi="Sylfaen"/>
          <w:sz w:val="20"/>
          <w:lang w:val="ka-GE"/>
        </w:rPr>
        <w:t>შემდეგში წოდებული როგორც „მყიდველი</w:t>
      </w:r>
      <w:r>
        <w:rPr>
          <w:rFonts w:ascii="Sylfaen" w:hAnsi="Sylfaen"/>
          <w:sz w:val="20"/>
          <w:lang w:val="ka-GE"/>
        </w:rPr>
        <w:t>“.</w:t>
      </w:r>
    </w:p>
    <w:p w14:paraId="1CF28DBB" w14:textId="1469D8AF" w:rsidR="00551824" w:rsidRPr="00626C5C" w:rsidRDefault="00626C5C" w:rsidP="00093A9A">
      <w:pPr>
        <w:tabs>
          <w:tab w:val="left" w:pos="9450"/>
          <w:tab w:val="left" w:pos="9540"/>
          <w:tab w:val="left" w:pos="9720"/>
        </w:tabs>
        <w:ind w:right="180"/>
        <w:jc w:val="both"/>
        <w:rPr>
          <w:rFonts w:ascii="Sylfaen" w:hAnsi="Sylfaen"/>
          <w:sz w:val="20"/>
          <w:lang w:val="ka-GE"/>
        </w:rPr>
      </w:pPr>
      <w:r>
        <w:rPr>
          <w:rFonts w:ascii="Sylfaen" w:hAnsi="Sylfaen"/>
          <w:sz w:val="20"/>
          <w:lang w:val="ka-GE"/>
        </w:rPr>
        <w:t xml:space="preserve">     </w:t>
      </w:r>
      <w:r w:rsidR="008A3188">
        <w:rPr>
          <w:rFonts w:ascii="Sylfaen" w:hAnsi="Sylfaen"/>
          <w:sz w:val="20"/>
          <w:lang w:val="ka-GE"/>
        </w:rPr>
        <w:t xml:space="preserve"> </w:t>
      </w:r>
      <w:r>
        <w:rPr>
          <w:rFonts w:ascii="Sylfaen" w:hAnsi="Sylfaen"/>
          <w:sz w:val="20"/>
          <w:lang w:val="ka-GE"/>
        </w:rPr>
        <w:t xml:space="preserve">  </w:t>
      </w:r>
      <w:r w:rsidR="00551824" w:rsidRPr="00A57AB9">
        <w:rPr>
          <w:rFonts w:ascii="Sylfaen" w:hAnsi="Sylfaen"/>
          <w:sz w:val="20"/>
          <w:lang w:val="ka-GE"/>
        </w:rPr>
        <w:t>ერთობლივად წოდებულნი როგორც „მხარეები“, ხოლო ცალ-ცალკე როგორც „მხარე“,</w:t>
      </w:r>
      <w:r>
        <w:rPr>
          <w:rFonts w:ascii="Sylfaen" w:hAnsi="Sylfaen"/>
          <w:sz w:val="20"/>
          <w:lang w:val="ka-GE"/>
        </w:rPr>
        <w:t xml:space="preserve"> </w:t>
      </w:r>
      <w:r w:rsidR="00551824" w:rsidRPr="00A57AB9">
        <w:rPr>
          <w:rFonts w:ascii="Sylfaen" w:hAnsi="Sylfaen"/>
          <w:sz w:val="20"/>
          <w:lang w:val="ka-GE"/>
        </w:rPr>
        <w:t>ვდებთ წინამდებარე ხელშეკრულებას შემდეგზე:</w:t>
      </w:r>
    </w:p>
    <w:p w14:paraId="6FA4C86E" w14:textId="77777777" w:rsidR="0046518E" w:rsidRDefault="0046518E" w:rsidP="00093A9A">
      <w:pPr>
        <w:tabs>
          <w:tab w:val="left" w:pos="9450"/>
          <w:tab w:val="left" w:pos="9540"/>
          <w:tab w:val="left" w:pos="9720"/>
        </w:tabs>
        <w:ind w:right="180"/>
        <w:jc w:val="both"/>
        <w:rPr>
          <w:rFonts w:ascii="Sylfaen" w:hAnsi="Sylfaen"/>
          <w:b/>
          <w:sz w:val="20"/>
          <w:lang w:val="ka-GE"/>
        </w:rPr>
      </w:pPr>
    </w:p>
    <w:p w14:paraId="07E9A9A7" w14:textId="211CF9B8" w:rsidR="00551824" w:rsidRPr="00A57AB9" w:rsidRDefault="00551824" w:rsidP="00093A9A">
      <w:pPr>
        <w:tabs>
          <w:tab w:val="left" w:pos="9450"/>
          <w:tab w:val="left" w:pos="9540"/>
          <w:tab w:val="left" w:pos="9720"/>
        </w:tabs>
        <w:ind w:right="180"/>
        <w:jc w:val="both"/>
        <w:rPr>
          <w:rFonts w:ascii="Sylfaen" w:hAnsi="Sylfaen"/>
          <w:b/>
          <w:sz w:val="20"/>
          <w:lang w:val="ka-GE"/>
        </w:rPr>
      </w:pPr>
      <w:r w:rsidRPr="00A57AB9">
        <w:rPr>
          <w:rFonts w:ascii="Sylfaen" w:hAnsi="Sylfaen"/>
          <w:b/>
          <w:sz w:val="20"/>
          <w:lang w:val="ka-GE"/>
        </w:rPr>
        <w:t>მუხლი 1. ხელშეკრულების საგანი</w:t>
      </w:r>
    </w:p>
    <w:p w14:paraId="17F38366" w14:textId="06A7135D" w:rsidR="00551824" w:rsidRPr="00A57AB9" w:rsidRDefault="00551824" w:rsidP="00093A9A">
      <w:pPr>
        <w:pStyle w:val="ListParagraph"/>
        <w:numPr>
          <w:ilvl w:val="0"/>
          <w:numId w:val="1"/>
        </w:numPr>
        <w:tabs>
          <w:tab w:val="left" w:pos="9450"/>
          <w:tab w:val="left" w:pos="9540"/>
          <w:tab w:val="left" w:pos="9720"/>
        </w:tabs>
        <w:ind w:left="720" w:right="180" w:hanging="540"/>
        <w:jc w:val="both"/>
        <w:rPr>
          <w:rFonts w:ascii="Sylfaen" w:hAnsi="Sylfaen"/>
          <w:sz w:val="20"/>
          <w:lang w:val="ka-GE"/>
        </w:rPr>
      </w:pPr>
      <w:r w:rsidRPr="00A57AB9">
        <w:rPr>
          <w:rFonts w:ascii="Sylfaen" w:hAnsi="Sylfaen"/>
          <w:sz w:val="20"/>
          <w:lang w:val="ka-GE"/>
        </w:rPr>
        <w:t>წინამდებარე ხელშეკრულების საგანს წარმოადგენს</w:t>
      </w:r>
      <w:r w:rsidR="00911B1C" w:rsidRPr="00A57AB9">
        <w:rPr>
          <w:rFonts w:ascii="Sylfaen" w:hAnsi="Sylfaen"/>
          <w:sz w:val="20"/>
          <w:lang w:val="ka-GE"/>
        </w:rPr>
        <w:t>, ამავე ხელშეკრულებით გათვალისწინებული პირობების დადგომისას, გამყიდველის საკუთრებაში არსებულ უძრავ ქონებაზე</w:t>
      </w:r>
      <w:r w:rsidR="00D95F52" w:rsidRPr="00A57AB9">
        <w:rPr>
          <w:rFonts w:ascii="Sylfaen" w:hAnsi="Sylfaen"/>
          <w:sz w:val="20"/>
          <w:lang w:val="ka-GE"/>
        </w:rPr>
        <w:t xml:space="preserve"> (შემდეგში ნასყიდობის საგანი)</w:t>
      </w:r>
      <w:r w:rsidR="002873C7" w:rsidRPr="00A57AB9">
        <w:rPr>
          <w:rFonts w:ascii="Sylfaen" w:hAnsi="Sylfaen"/>
          <w:sz w:val="20"/>
          <w:lang w:val="ka-GE"/>
        </w:rPr>
        <w:t xml:space="preserve"> </w:t>
      </w:r>
      <w:r w:rsidR="00A57AB9">
        <w:rPr>
          <w:rFonts w:ascii="Sylfaen" w:hAnsi="Sylfaen"/>
          <w:sz w:val="20"/>
          <w:lang w:val="ka-GE"/>
        </w:rPr>
        <w:t xml:space="preserve">„მყიდველის“ მიერ </w:t>
      </w:r>
      <w:r w:rsidR="002873C7" w:rsidRPr="00A57AB9">
        <w:rPr>
          <w:rFonts w:ascii="Sylfaen" w:hAnsi="Sylfaen"/>
          <w:sz w:val="20"/>
          <w:lang w:val="ka-GE"/>
        </w:rPr>
        <w:t xml:space="preserve">შესაბამისი საზღაურის გადახდის სანაცვლოდ </w:t>
      </w:r>
      <w:r w:rsidR="00911B1C" w:rsidRPr="00A57AB9">
        <w:rPr>
          <w:rFonts w:ascii="Sylfaen" w:hAnsi="Sylfaen"/>
          <w:sz w:val="20"/>
          <w:lang w:val="ka-GE"/>
        </w:rPr>
        <w:t xml:space="preserve">მყიდველთან ნასყიდობის ხელშეკრულების </w:t>
      </w:r>
      <w:r w:rsidR="002873C7" w:rsidRPr="00A57AB9">
        <w:rPr>
          <w:rFonts w:ascii="Sylfaen" w:hAnsi="Sylfaen"/>
          <w:sz w:val="20"/>
          <w:lang w:val="ka-GE"/>
        </w:rPr>
        <w:t xml:space="preserve"> გაფორმება.</w:t>
      </w:r>
    </w:p>
    <w:p w14:paraId="0D6A422D" w14:textId="25F1EA20" w:rsidR="00911B1C" w:rsidRPr="00A57AB9" w:rsidRDefault="00911B1C" w:rsidP="00093A9A">
      <w:pPr>
        <w:pStyle w:val="ListParagraph"/>
        <w:numPr>
          <w:ilvl w:val="0"/>
          <w:numId w:val="1"/>
        </w:numPr>
        <w:tabs>
          <w:tab w:val="left" w:pos="9450"/>
          <w:tab w:val="left" w:pos="9540"/>
          <w:tab w:val="left" w:pos="9720"/>
        </w:tabs>
        <w:ind w:left="720" w:right="180" w:hanging="540"/>
        <w:jc w:val="both"/>
        <w:rPr>
          <w:rFonts w:ascii="Sylfaen" w:hAnsi="Sylfaen"/>
          <w:sz w:val="20"/>
          <w:lang w:val="ka-GE"/>
        </w:rPr>
      </w:pPr>
      <w:r w:rsidRPr="00A57AB9">
        <w:rPr>
          <w:rFonts w:ascii="Sylfaen" w:hAnsi="Sylfaen"/>
          <w:sz w:val="20"/>
          <w:lang w:val="ka-GE"/>
        </w:rPr>
        <w:t>1.1 პუნქტში ასახული უძრავი ქონების მახასიათებლებია:</w:t>
      </w:r>
    </w:p>
    <w:p w14:paraId="394C0342" w14:textId="77777777" w:rsidR="00911CE0" w:rsidRPr="00911CE0" w:rsidRDefault="00911B1C" w:rsidP="00093A9A">
      <w:pPr>
        <w:pStyle w:val="ListParagraph"/>
        <w:numPr>
          <w:ilvl w:val="0"/>
          <w:numId w:val="8"/>
        </w:numPr>
        <w:tabs>
          <w:tab w:val="left" w:pos="990"/>
          <w:tab w:val="left" w:pos="9450"/>
          <w:tab w:val="left" w:pos="9540"/>
          <w:tab w:val="left" w:pos="9720"/>
        </w:tabs>
        <w:ind w:right="180"/>
        <w:jc w:val="both"/>
        <w:rPr>
          <w:rFonts w:ascii="Sylfaen" w:hAnsi="Sylfaen"/>
          <w:sz w:val="20"/>
          <w:highlight w:val="yellow"/>
          <w:lang w:val="ka-GE"/>
        </w:rPr>
      </w:pPr>
      <w:r w:rsidRPr="00911CE0">
        <w:rPr>
          <w:rFonts w:ascii="Sylfaen" w:hAnsi="Sylfaen"/>
          <w:b/>
          <w:i/>
          <w:sz w:val="20"/>
          <w:highlight w:val="yellow"/>
          <w:lang w:val="ka-GE"/>
        </w:rPr>
        <w:t xml:space="preserve">მის: </w:t>
      </w:r>
      <w:r w:rsidR="00911CE0" w:rsidRPr="00911CE0">
        <w:rPr>
          <w:rFonts w:ascii="Sylfaen" w:hAnsi="Sylfaen"/>
          <w:b/>
          <w:i/>
          <w:sz w:val="20"/>
          <w:highlight w:val="yellow"/>
          <w:lang w:val="ka-GE"/>
        </w:rPr>
        <w:t>ქალაქი --- , ქუჩა ---, სართული ---, ბინა N--, ს/კ ---</w:t>
      </w:r>
    </w:p>
    <w:p w14:paraId="091E2044" w14:textId="343A3D3C" w:rsidR="00911B1C" w:rsidRPr="00911CE0" w:rsidRDefault="00911B1C" w:rsidP="00093A9A">
      <w:pPr>
        <w:pStyle w:val="ListParagraph"/>
        <w:numPr>
          <w:ilvl w:val="0"/>
          <w:numId w:val="1"/>
        </w:numPr>
        <w:tabs>
          <w:tab w:val="left" w:pos="990"/>
          <w:tab w:val="left" w:pos="9450"/>
          <w:tab w:val="left" w:pos="9540"/>
          <w:tab w:val="left" w:pos="9720"/>
        </w:tabs>
        <w:ind w:left="720" w:right="180" w:hanging="540"/>
        <w:jc w:val="both"/>
        <w:rPr>
          <w:rFonts w:ascii="Sylfaen" w:hAnsi="Sylfaen"/>
          <w:sz w:val="20"/>
          <w:lang w:val="ka-GE"/>
        </w:rPr>
      </w:pPr>
      <w:r w:rsidRPr="00911CE0">
        <w:rPr>
          <w:rFonts w:ascii="Sylfaen" w:hAnsi="Sylfaen"/>
          <w:sz w:val="20"/>
          <w:lang w:val="ka-GE"/>
        </w:rPr>
        <w:t>გამყიდველის საკუთრების უფლება ზემოხსენებულ უძრავ ქონებაზე დასტურდება ამონაწერით საჯარო რეესტრიდან.</w:t>
      </w:r>
    </w:p>
    <w:p w14:paraId="3514D92B" w14:textId="352E90A8" w:rsidR="00911B1C" w:rsidRDefault="00880185" w:rsidP="00093A9A">
      <w:pPr>
        <w:pStyle w:val="ListParagraph"/>
        <w:numPr>
          <w:ilvl w:val="0"/>
          <w:numId w:val="1"/>
        </w:numPr>
        <w:tabs>
          <w:tab w:val="left" w:pos="9450"/>
          <w:tab w:val="left" w:pos="9540"/>
          <w:tab w:val="left" w:pos="9720"/>
        </w:tabs>
        <w:ind w:left="720" w:right="180" w:hanging="540"/>
        <w:jc w:val="both"/>
        <w:rPr>
          <w:rFonts w:ascii="Sylfaen" w:hAnsi="Sylfaen"/>
          <w:b/>
          <w:i/>
          <w:sz w:val="20"/>
          <w:lang w:val="ka-GE"/>
        </w:rPr>
      </w:pPr>
      <w:r w:rsidRPr="00A57AB9">
        <w:rPr>
          <w:rFonts w:ascii="Sylfaen" w:hAnsi="Sylfaen"/>
          <w:b/>
          <w:i/>
          <w:sz w:val="20"/>
          <w:lang w:val="ka-GE"/>
        </w:rPr>
        <w:t xml:space="preserve">წინამდებარე   წინარე   ნასყიდობის    ხელშეკრულების საფუძველზე მყიდველი რეგისტრირდება ს/კ </w:t>
      </w:r>
      <w:r w:rsidR="005C65B7" w:rsidRPr="005C65B7">
        <w:rPr>
          <w:rFonts w:ascii="Sylfaen" w:hAnsi="Sylfaen"/>
          <w:b/>
          <w:i/>
          <w:sz w:val="20"/>
          <w:highlight w:val="yellow"/>
          <w:lang w:val="ka-GE"/>
        </w:rPr>
        <w:t>----</w:t>
      </w:r>
      <w:r w:rsidRPr="00A57AB9">
        <w:rPr>
          <w:rFonts w:ascii="Sylfaen" w:hAnsi="Sylfaen"/>
          <w:b/>
          <w:i/>
          <w:sz w:val="20"/>
          <w:lang w:val="ka-GE"/>
        </w:rPr>
        <w:t xml:space="preserve"> უძრავი ქონების საჯარო რეესტრის ამონაწერის ვალდებულების გრაფაში, როგორც  ,,მომავალი მესაკუთრე“.</w:t>
      </w:r>
    </w:p>
    <w:p w14:paraId="1E744DC7" w14:textId="77777777" w:rsidR="00A44DA2" w:rsidRPr="00A44DA2" w:rsidRDefault="00A44DA2" w:rsidP="00093A9A">
      <w:pPr>
        <w:pStyle w:val="ListParagraph"/>
        <w:tabs>
          <w:tab w:val="left" w:pos="9450"/>
          <w:tab w:val="left" w:pos="9540"/>
          <w:tab w:val="left" w:pos="9720"/>
        </w:tabs>
        <w:ind w:right="180"/>
        <w:jc w:val="both"/>
        <w:rPr>
          <w:rFonts w:ascii="Sylfaen" w:hAnsi="Sylfaen"/>
          <w:b/>
          <w:i/>
          <w:sz w:val="20"/>
          <w:lang w:val="ka-GE"/>
        </w:rPr>
      </w:pPr>
    </w:p>
    <w:p w14:paraId="41E8ACE2" w14:textId="08314EA1" w:rsidR="00911B1C" w:rsidRPr="00A57AB9" w:rsidRDefault="00911B1C" w:rsidP="00093A9A">
      <w:pPr>
        <w:tabs>
          <w:tab w:val="left" w:pos="9450"/>
          <w:tab w:val="left" w:pos="9540"/>
          <w:tab w:val="left" w:pos="9720"/>
        </w:tabs>
        <w:ind w:right="180"/>
        <w:jc w:val="both"/>
        <w:rPr>
          <w:rFonts w:ascii="Sylfaen" w:hAnsi="Sylfaen"/>
          <w:b/>
          <w:sz w:val="20"/>
          <w:lang w:val="ka-GE"/>
        </w:rPr>
      </w:pPr>
      <w:r w:rsidRPr="00A57AB9">
        <w:rPr>
          <w:rFonts w:ascii="Sylfaen" w:hAnsi="Sylfaen"/>
          <w:b/>
          <w:sz w:val="20"/>
          <w:lang w:val="ka-GE"/>
        </w:rPr>
        <w:t xml:space="preserve">მუხლი 2. </w:t>
      </w:r>
      <w:r w:rsidR="00921DF0" w:rsidRPr="00A57AB9">
        <w:rPr>
          <w:rFonts w:ascii="Sylfaen" w:hAnsi="Sylfaen"/>
          <w:b/>
          <w:sz w:val="20"/>
          <w:lang w:val="ka-GE"/>
        </w:rPr>
        <w:t xml:space="preserve">ნასყიდობის </w:t>
      </w:r>
      <w:r w:rsidR="004658D5" w:rsidRPr="00A57AB9">
        <w:rPr>
          <w:rFonts w:ascii="Sylfaen" w:hAnsi="Sylfaen"/>
          <w:b/>
          <w:sz w:val="20"/>
          <w:lang w:val="ka-GE"/>
        </w:rPr>
        <w:t>საფასური</w:t>
      </w:r>
    </w:p>
    <w:p w14:paraId="791EF8A5" w14:textId="43C27756" w:rsidR="004658D5" w:rsidRDefault="004658D5" w:rsidP="00093A9A">
      <w:pPr>
        <w:pStyle w:val="ListParagraph"/>
        <w:numPr>
          <w:ilvl w:val="0"/>
          <w:numId w:val="4"/>
        </w:numPr>
        <w:tabs>
          <w:tab w:val="left" w:pos="9450"/>
          <w:tab w:val="left" w:pos="9540"/>
          <w:tab w:val="left" w:pos="9720"/>
        </w:tabs>
        <w:ind w:left="720" w:right="180" w:hanging="540"/>
        <w:jc w:val="both"/>
        <w:rPr>
          <w:rFonts w:ascii="Sylfaen" w:hAnsi="Sylfaen"/>
          <w:sz w:val="20"/>
          <w:lang w:val="ka-GE"/>
        </w:rPr>
      </w:pPr>
      <w:r w:rsidRPr="00A57AB9">
        <w:rPr>
          <w:rFonts w:ascii="Sylfaen" w:hAnsi="Sylfaen"/>
          <w:sz w:val="20"/>
          <w:lang w:val="ka-GE"/>
        </w:rPr>
        <w:t xml:space="preserve">მხარეთა შეთანხმებით ნასყიდობის საფასური შეადგენს </w:t>
      </w:r>
      <w:r w:rsidR="0073569D" w:rsidRPr="0073569D">
        <w:rPr>
          <w:rFonts w:ascii="Sylfaen" w:hAnsi="Sylfaen"/>
          <w:sz w:val="20"/>
          <w:highlight w:val="yellow"/>
          <w:lang w:val="ka-GE"/>
        </w:rPr>
        <w:t>---</w:t>
      </w:r>
      <w:r w:rsidR="0073569D">
        <w:rPr>
          <w:rFonts w:ascii="Sylfaen" w:hAnsi="Sylfaen"/>
          <w:sz w:val="20"/>
          <w:lang w:val="ka-GE"/>
        </w:rPr>
        <w:t xml:space="preserve"> ლარს /</w:t>
      </w:r>
      <w:r w:rsidRPr="00A57AB9">
        <w:rPr>
          <w:rFonts w:ascii="Sylfaen" w:hAnsi="Sylfaen"/>
          <w:sz w:val="20"/>
          <w:lang w:val="ka-GE"/>
        </w:rPr>
        <w:t xml:space="preserve"> აშშ დოლარის ეკვივალენტს ეროვნულ ვალუტაში.</w:t>
      </w:r>
    </w:p>
    <w:p w14:paraId="1668F7C9" w14:textId="378134EA" w:rsidR="000D028E" w:rsidRPr="00A57AB9" w:rsidRDefault="000D028E" w:rsidP="00093A9A">
      <w:pPr>
        <w:pStyle w:val="ListParagraph"/>
        <w:numPr>
          <w:ilvl w:val="0"/>
          <w:numId w:val="4"/>
        </w:numPr>
        <w:tabs>
          <w:tab w:val="left" w:pos="9450"/>
          <w:tab w:val="left" w:pos="9540"/>
          <w:tab w:val="left" w:pos="9720"/>
        </w:tabs>
        <w:ind w:left="720" w:right="180" w:hanging="540"/>
        <w:jc w:val="both"/>
        <w:rPr>
          <w:rFonts w:ascii="Sylfaen" w:hAnsi="Sylfaen"/>
          <w:sz w:val="20"/>
          <w:lang w:val="ka-GE"/>
        </w:rPr>
      </w:pPr>
      <w:r>
        <w:rPr>
          <w:rFonts w:ascii="Sylfaen" w:hAnsi="Sylfaen"/>
          <w:sz w:val="20"/>
          <w:lang w:val="ka-GE"/>
        </w:rPr>
        <w:t xml:space="preserve">„მყიდველი“ ნასყიდობის საფასურს გადაიხდის შემდეგი გრაფიკით: </w:t>
      </w:r>
      <w:r w:rsidRPr="000D028E">
        <w:rPr>
          <w:rFonts w:ascii="Sylfaen" w:hAnsi="Sylfaen"/>
          <w:sz w:val="20"/>
          <w:highlight w:val="yellow"/>
          <w:lang w:val="ka-GE"/>
        </w:rPr>
        <w:t>---</w:t>
      </w:r>
    </w:p>
    <w:p w14:paraId="25C582AF" w14:textId="316593CD" w:rsidR="002016BC" w:rsidRPr="00A57AB9" w:rsidRDefault="002016BC" w:rsidP="00093A9A">
      <w:pPr>
        <w:pStyle w:val="ListParagraph"/>
        <w:numPr>
          <w:ilvl w:val="0"/>
          <w:numId w:val="4"/>
        </w:numPr>
        <w:tabs>
          <w:tab w:val="left" w:pos="9450"/>
          <w:tab w:val="left" w:pos="9540"/>
          <w:tab w:val="left" w:pos="9720"/>
        </w:tabs>
        <w:ind w:left="720" w:right="180" w:hanging="540"/>
        <w:jc w:val="both"/>
        <w:rPr>
          <w:rFonts w:ascii="Sylfaen" w:hAnsi="Sylfaen"/>
          <w:sz w:val="20"/>
          <w:lang w:val="ka-GE"/>
        </w:rPr>
      </w:pPr>
      <w:r w:rsidRPr="00A57AB9">
        <w:rPr>
          <w:rFonts w:ascii="Sylfaen" w:hAnsi="Sylfaen"/>
          <w:sz w:val="20"/>
          <w:lang w:val="ka-GE"/>
        </w:rPr>
        <w:t xml:space="preserve">წინამდებარე ხელშეკრულების მხარეები იღებენ ვალდებულებას, რომ სრულად დაიცავენ კონფიდენციალურობას ნასყიდობის საგნის ფასთან მიმართებაში. </w:t>
      </w:r>
    </w:p>
    <w:p w14:paraId="664CB2BF" w14:textId="0F704C0E" w:rsidR="00466E65" w:rsidRPr="00A14EF7" w:rsidRDefault="004658D5" w:rsidP="00093A9A">
      <w:pPr>
        <w:pStyle w:val="ListParagraph"/>
        <w:numPr>
          <w:ilvl w:val="0"/>
          <w:numId w:val="4"/>
        </w:numPr>
        <w:tabs>
          <w:tab w:val="left" w:pos="9450"/>
          <w:tab w:val="left" w:pos="9540"/>
          <w:tab w:val="left" w:pos="9720"/>
        </w:tabs>
        <w:ind w:left="720" w:right="180" w:hanging="540"/>
        <w:jc w:val="both"/>
        <w:rPr>
          <w:rFonts w:ascii="Sylfaen" w:hAnsi="Sylfaen"/>
          <w:b/>
          <w:i/>
          <w:sz w:val="20"/>
          <w:lang w:val="ka-GE"/>
        </w:rPr>
      </w:pPr>
      <w:r w:rsidRPr="00A14EF7">
        <w:rPr>
          <w:rFonts w:ascii="Sylfaen" w:hAnsi="Sylfaen"/>
          <w:b/>
          <w:i/>
          <w:sz w:val="20"/>
          <w:lang w:val="ka-GE"/>
        </w:rPr>
        <w:t>მხარეებს შორის ნასყიდობის ხელშეკრულება გაფორმდება</w:t>
      </w:r>
      <w:r w:rsidR="00A84037" w:rsidRPr="00A14EF7">
        <w:rPr>
          <w:rFonts w:ascii="Sylfaen" w:hAnsi="Sylfaen"/>
          <w:b/>
          <w:i/>
          <w:sz w:val="20"/>
          <w:lang w:val="ka-GE"/>
        </w:rPr>
        <w:t xml:space="preserve"> და „მყიდველს“ ნასყიდობის საგანი გადაეცემა</w:t>
      </w:r>
      <w:r w:rsidRPr="00A14EF7">
        <w:rPr>
          <w:rFonts w:ascii="Sylfaen" w:hAnsi="Sylfaen"/>
          <w:b/>
          <w:i/>
          <w:sz w:val="20"/>
          <w:lang w:val="ka-GE"/>
        </w:rPr>
        <w:t xml:space="preserve"> მხოლოდ მას შემდეგ, რაც „მყიდველი“ სრულად </w:t>
      </w:r>
      <w:r w:rsidR="00861637" w:rsidRPr="00A14EF7">
        <w:rPr>
          <w:rFonts w:ascii="Sylfaen" w:hAnsi="Sylfaen"/>
          <w:b/>
          <w:i/>
          <w:sz w:val="20"/>
          <w:lang w:val="ka-GE"/>
        </w:rPr>
        <w:t>გადაიხდის</w:t>
      </w:r>
      <w:r w:rsidRPr="00A14EF7">
        <w:rPr>
          <w:rFonts w:ascii="Sylfaen" w:hAnsi="Sylfaen"/>
          <w:b/>
          <w:i/>
          <w:sz w:val="20"/>
          <w:lang w:val="ka-GE"/>
        </w:rPr>
        <w:t xml:space="preserve"> ნასყიდობის საფასურს.</w:t>
      </w:r>
    </w:p>
    <w:p w14:paraId="62225DB2" w14:textId="46C6F80C" w:rsidR="00CD480D" w:rsidRPr="00A57AB9" w:rsidRDefault="00CD480D" w:rsidP="00093A9A">
      <w:pPr>
        <w:pStyle w:val="ListParagraph"/>
        <w:numPr>
          <w:ilvl w:val="0"/>
          <w:numId w:val="4"/>
        </w:numPr>
        <w:tabs>
          <w:tab w:val="left" w:pos="9450"/>
          <w:tab w:val="left" w:pos="9540"/>
          <w:tab w:val="left" w:pos="9720"/>
        </w:tabs>
        <w:ind w:left="720" w:right="180" w:hanging="540"/>
        <w:jc w:val="both"/>
        <w:rPr>
          <w:rFonts w:ascii="Sylfaen" w:hAnsi="Sylfaen"/>
          <w:sz w:val="20"/>
          <w:lang w:val="ka-GE"/>
        </w:rPr>
      </w:pPr>
      <w:r>
        <w:rPr>
          <w:rFonts w:ascii="Sylfaen" w:hAnsi="Sylfaen"/>
          <w:sz w:val="20"/>
          <w:lang w:val="ka-GE"/>
        </w:rPr>
        <w:t xml:space="preserve">მხარეები თანხმდებიან, რომ </w:t>
      </w:r>
      <w:r w:rsidR="003057C9">
        <w:rPr>
          <w:rFonts w:ascii="Sylfaen" w:hAnsi="Sylfaen"/>
          <w:sz w:val="20"/>
          <w:lang w:val="ka-GE"/>
        </w:rPr>
        <w:t xml:space="preserve">იმ შემთხვევაში თუ „მყიდველი“ </w:t>
      </w:r>
      <w:r w:rsidR="009213D2" w:rsidRPr="009213D2">
        <w:rPr>
          <w:rFonts w:ascii="Sylfaen" w:hAnsi="Sylfaen"/>
          <w:sz w:val="20"/>
          <w:highlight w:val="yellow"/>
          <w:lang w:val="ka-GE"/>
        </w:rPr>
        <w:t>202-</w:t>
      </w:r>
      <w:r w:rsidR="003057C9">
        <w:rPr>
          <w:rFonts w:ascii="Sylfaen" w:hAnsi="Sylfaen"/>
          <w:sz w:val="20"/>
          <w:lang w:val="ka-GE"/>
        </w:rPr>
        <w:t xml:space="preserve"> წლის </w:t>
      </w:r>
      <w:r w:rsidR="009213D2" w:rsidRPr="009213D2">
        <w:rPr>
          <w:rFonts w:ascii="Sylfaen" w:hAnsi="Sylfaen"/>
          <w:sz w:val="20"/>
          <w:highlight w:val="yellow"/>
          <w:lang w:val="ka-GE"/>
        </w:rPr>
        <w:t>---</w:t>
      </w:r>
      <w:r w:rsidR="003057C9">
        <w:rPr>
          <w:rFonts w:ascii="Sylfaen" w:hAnsi="Sylfaen"/>
          <w:sz w:val="20"/>
          <w:lang w:val="ka-GE"/>
        </w:rPr>
        <w:t xml:space="preserve"> თვემდე არ მოახდენს ნასყიდობის საფასურის სრულად გადახდას, მაშინ </w:t>
      </w:r>
      <w:r w:rsidR="0016042C">
        <w:rPr>
          <w:rFonts w:ascii="Sylfaen" w:hAnsi="Sylfaen"/>
          <w:sz w:val="20"/>
          <w:lang w:val="ka-GE"/>
        </w:rPr>
        <w:t xml:space="preserve">„მყიდველი“ აცხადებს გამოუხმობად თანხმობას, რომ „გამყიდველი“ უფლებამოსილი იქნება </w:t>
      </w:r>
      <w:r w:rsidR="0016042C" w:rsidRPr="0016042C">
        <w:rPr>
          <w:rFonts w:ascii="Sylfaen" w:hAnsi="Sylfaen"/>
          <w:sz w:val="20"/>
          <w:lang w:val="ka-GE"/>
        </w:rPr>
        <w:t>მყიდველის თანხმობისა ან ნებართვის გარეშე, ცალმხრივი წერილობითი განცხადები</w:t>
      </w:r>
      <w:r w:rsidR="0016042C">
        <w:rPr>
          <w:rFonts w:ascii="Sylfaen" w:hAnsi="Sylfaen"/>
          <w:sz w:val="20"/>
          <w:lang w:val="ka-GE"/>
        </w:rPr>
        <w:t xml:space="preserve">თ მიმართოს საჯარო რეესტრის ეროვნულ სააგენტოს და </w:t>
      </w:r>
      <w:r w:rsidR="0016042C" w:rsidRPr="0016042C">
        <w:rPr>
          <w:rFonts w:ascii="Sylfaen" w:hAnsi="Sylfaen"/>
          <w:sz w:val="20"/>
          <w:lang w:val="ka-GE"/>
        </w:rPr>
        <w:t>მოითხოვოს ნასყიდობის საგანზე მყიდველის სამომავლო საკუთრების უფლების გაუქმება.</w:t>
      </w:r>
    </w:p>
    <w:p w14:paraId="61BC48F2" w14:textId="77777777" w:rsidR="00093A9A" w:rsidRDefault="00093A9A" w:rsidP="00093A9A">
      <w:pPr>
        <w:tabs>
          <w:tab w:val="left" w:pos="9450"/>
          <w:tab w:val="left" w:pos="9540"/>
          <w:tab w:val="left" w:pos="9720"/>
        </w:tabs>
        <w:ind w:right="180"/>
        <w:jc w:val="both"/>
        <w:rPr>
          <w:rFonts w:ascii="Sylfaen" w:hAnsi="Sylfaen"/>
          <w:sz w:val="20"/>
          <w:lang w:val="ka-GE"/>
        </w:rPr>
      </w:pPr>
    </w:p>
    <w:p w14:paraId="2C256220" w14:textId="43850922" w:rsidR="00466E65" w:rsidRPr="00A57AB9" w:rsidRDefault="00466E65" w:rsidP="00093A9A">
      <w:pPr>
        <w:tabs>
          <w:tab w:val="left" w:pos="9450"/>
          <w:tab w:val="left" w:pos="9540"/>
          <w:tab w:val="left" w:pos="9720"/>
        </w:tabs>
        <w:ind w:right="180"/>
        <w:jc w:val="both"/>
        <w:rPr>
          <w:rFonts w:ascii="Sylfaen" w:hAnsi="Sylfaen"/>
          <w:b/>
          <w:sz w:val="20"/>
          <w:lang w:val="ka-GE"/>
        </w:rPr>
      </w:pPr>
      <w:r w:rsidRPr="00A57AB9">
        <w:rPr>
          <w:rFonts w:ascii="Sylfaen" w:hAnsi="Sylfaen"/>
          <w:b/>
          <w:sz w:val="20"/>
          <w:lang w:val="ka-GE"/>
        </w:rPr>
        <w:t xml:space="preserve">მუხლი </w:t>
      </w:r>
      <w:r w:rsidR="00366043" w:rsidRPr="00A57AB9">
        <w:rPr>
          <w:rFonts w:ascii="Sylfaen" w:hAnsi="Sylfaen"/>
          <w:b/>
          <w:sz w:val="20"/>
          <w:lang w:val="ka-GE"/>
        </w:rPr>
        <w:t>3. მხარეთა უფლება-მოვალეობები</w:t>
      </w:r>
    </w:p>
    <w:p w14:paraId="11388F19" w14:textId="05E88581" w:rsidR="00366043" w:rsidRPr="00A57AB9" w:rsidRDefault="00A84037" w:rsidP="00093A9A">
      <w:pPr>
        <w:pStyle w:val="ListParagraph"/>
        <w:numPr>
          <w:ilvl w:val="0"/>
          <w:numId w:val="5"/>
        </w:numPr>
        <w:tabs>
          <w:tab w:val="left" w:pos="9450"/>
          <w:tab w:val="left" w:pos="9540"/>
          <w:tab w:val="left" w:pos="9720"/>
        </w:tabs>
        <w:ind w:left="720" w:right="180" w:hanging="540"/>
        <w:jc w:val="both"/>
        <w:rPr>
          <w:rFonts w:ascii="Sylfaen" w:hAnsi="Sylfaen"/>
          <w:sz w:val="20"/>
          <w:lang w:val="ka-GE"/>
        </w:rPr>
      </w:pPr>
      <w:r w:rsidRPr="00A57AB9">
        <w:rPr>
          <w:rFonts w:ascii="Sylfaen" w:hAnsi="Sylfaen"/>
          <w:sz w:val="20"/>
          <w:lang w:val="ka-GE"/>
        </w:rPr>
        <w:t>„გამყიდველი“ ვალდებულია წინამდებარე ხელშეკრულებით გათვალისწინებული პი</w:t>
      </w:r>
      <w:r w:rsidR="00EF283C">
        <w:rPr>
          <w:rFonts w:ascii="Sylfaen" w:hAnsi="Sylfaen"/>
          <w:sz w:val="20"/>
          <w:lang w:val="ka-GE"/>
        </w:rPr>
        <w:t>რო</w:t>
      </w:r>
      <w:r w:rsidRPr="00A57AB9">
        <w:rPr>
          <w:rFonts w:ascii="Sylfaen" w:hAnsi="Sylfaen"/>
          <w:sz w:val="20"/>
          <w:lang w:val="ka-GE"/>
        </w:rPr>
        <w:t>ბების დადგომისას „მყიდველთან“ გააფორმოს ნასყიდობის ხელშეკრულება.</w:t>
      </w:r>
    </w:p>
    <w:p w14:paraId="4F9511F0" w14:textId="1A953889" w:rsidR="00A84037" w:rsidRDefault="006633B4" w:rsidP="00093A9A">
      <w:pPr>
        <w:pStyle w:val="ListParagraph"/>
        <w:numPr>
          <w:ilvl w:val="0"/>
          <w:numId w:val="5"/>
        </w:numPr>
        <w:tabs>
          <w:tab w:val="left" w:pos="9450"/>
          <w:tab w:val="left" w:pos="9540"/>
          <w:tab w:val="left" w:pos="9720"/>
        </w:tabs>
        <w:ind w:left="720" w:right="180" w:hanging="540"/>
        <w:jc w:val="both"/>
        <w:rPr>
          <w:rFonts w:ascii="Sylfaen" w:hAnsi="Sylfaen"/>
          <w:sz w:val="20"/>
          <w:lang w:val="ka-GE"/>
        </w:rPr>
      </w:pPr>
      <w:r w:rsidRPr="00A57AB9">
        <w:rPr>
          <w:rFonts w:ascii="Sylfaen" w:hAnsi="Sylfaen"/>
          <w:sz w:val="20"/>
          <w:lang w:val="ka-GE"/>
        </w:rPr>
        <w:lastRenderedPageBreak/>
        <w:t>„გამყიდველი“ უფლებამოსილია „მყიდველს“ მოსთხოვოს წინამდებარე ხელშეკრულებით გათვალისწინებული ნასყიდობის საფასურის გადახდა</w:t>
      </w:r>
      <w:r w:rsidR="00352F5F" w:rsidRPr="00A57AB9">
        <w:rPr>
          <w:rFonts w:ascii="Sylfaen" w:hAnsi="Sylfaen"/>
          <w:sz w:val="20"/>
          <w:lang w:val="ka-GE"/>
        </w:rPr>
        <w:t>, თავის მხრივ „მყიდველი“ ვალდებულია გადაიხადოს ამავე ხელშეკრულებით გათვალისწინებული უძრავი ქონების ნასყიდობის საფასური</w:t>
      </w:r>
      <w:r w:rsidRPr="00A57AB9">
        <w:rPr>
          <w:rFonts w:ascii="Sylfaen" w:hAnsi="Sylfaen"/>
          <w:sz w:val="20"/>
          <w:lang w:val="ka-GE"/>
        </w:rPr>
        <w:t>.</w:t>
      </w:r>
    </w:p>
    <w:p w14:paraId="69A6AB72" w14:textId="77777777" w:rsidR="00413A98" w:rsidRDefault="00413A98" w:rsidP="00093A9A">
      <w:pPr>
        <w:pStyle w:val="ListParagraph"/>
        <w:tabs>
          <w:tab w:val="left" w:pos="9450"/>
          <w:tab w:val="left" w:pos="9540"/>
          <w:tab w:val="left" w:pos="9720"/>
        </w:tabs>
        <w:ind w:right="180"/>
        <w:jc w:val="both"/>
        <w:rPr>
          <w:rFonts w:ascii="Sylfaen" w:hAnsi="Sylfaen"/>
          <w:sz w:val="20"/>
          <w:lang w:val="ka-GE"/>
        </w:rPr>
      </w:pPr>
    </w:p>
    <w:p w14:paraId="17D93DB6" w14:textId="575DA4BF" w:rsidR="00352F5F" w:rsidRPr="00A57AB9" w:rsidRDefault="00352F5F" w:rsidP="00093A9A">
      <w:pPr>
        <w:tabs>
          <w:tab w:val="left" w:pos="9450"/>
          <w:tab w:val="left" w:pos="9540"/>
          <w:tab w:val="left" w:pos="9720"/>
        </w:tabs>
        <w:ind w:right="180"/>
        <w:jc w:val="both"/>
        <w:rPr>
          <w:rFonts w:ascii="Sylfaen" w:hAnsi="Sylfaen"/>
          <w:b/>
          <w:sz w:val="20"/>
          <w:lang w:val="ka-GE"/>
        </w:rPr>
      </w:pPr>
      <w:r w:rsidRPr="00A57AB9">
        <w:rPr>
          <w:rFonts w:ascii="Sylfaen" w:hAnsi="Sylfaen"/>
          <w:b/>
          <w:sz w:val="20"/>
          <w:lang w:val="ka-GE"/>
        </w:rPr>
        <w:t>მუხლი 4. მხარეთა პასუხი</w:t>
      </w:r>
      <w:r w:rsidR="008046A8">
        <w:rPr>
          <w:rFonts w:ascii="Sylfaen" w:hAnsi="Sylfaen"/>
          <w:b/>
          <w:sz w:val="20"/>
          <w:lang w:val="ka-GE"/>
        </w:rPr>
        <w:t>ს</w:t>
      </w:r>
      <w:r w:rsidRPr="00A57AB9">
        <w:rPr>
          <w:rFonts w:ascii="Sylfaen" w:hAnsi="Sylfaen"/>
          <w:b/>
          <w:sz w:val="20"/>
          <w:lang w:val="ka-GE"/>
        </w:rPr>
        <w:t>მგებლობა და დავათა გადაწყვეტის წესი</w:t>
      </w:r>
    </w:p>
    <w:p w14:paraId="064E977B" w14:textId="55F1E07C" w:rsidR="006B52EA" w:rsidRPr="00A57AB9" w:rsidRDefault="006B52EA" w:rsidP="00093A9A">
      <w:pPr>
        <w:pStyle w:val="ListParagraph"/>
        <w:numPr>
          <w:ilvl w:val="0"/>
          <w:numId w:val="6"/>
        </w:numPr>
        <w:tabs>
          <w:tab w:val="left" w:pos="9720"/>
        </w:tabs>
        <w:ind w:left="720" w:hanging="540"/>
        <w:jc w:val="both"/>
        <w:rPr>
          <w:rFonts w:ascii="Sylfaen" w:hAnsi="Sylfaen"/>
          <w:sz w:val="20"/>
          <w:lang w:val="ka-GE"/>
        </w:rPr>
      </w:pPr>
      <w:r w:rsidRPr="00A57AB9">
        <w:rPr>
          <w:rFonts w:ascii="Sylfaen" w:hAnsi="Sylfaen"/>
          <w:sz w:val="20"/>
          <w:lang w:val="ka-GE"/>
        </w:rPr>
        <w:t>წინამდებარე ხელშეკრულებით ნაკისრი ვალდებულებების ბრალეული შეუსრულებლობის შემთხვევაში, მხარეები პასუხს აგებენ მოქმედი კანონმდებლობის შესაბამისად.</w:t>
      </w:r>
    </w:p>
    <w:p w14:paraId="6A25FFCB" w14:textId="3DFF9AD2" w:rsidR="006B52EA" w:rsidRPr="00A57AB9" w:rsidRDefault="006B52EA" w:rsidP="00093A9A">
      <w:pPr>
        <w:pStyle w:val="ListParagraph"/>
        <w:numPr>
          <w:ilvl w:val="0"/>
          <w:numId w:val="6"/>
        </w:numPr>
        <w:tabs>
          <w:tab w:val="left" w:pos="9720"/>
        </w:tabs>
        <w:ind w:left="720" w:hanging="540"/>
        <w:jc w:val="both"/>
        <w:rPr>
          <w:rFonts w:ascii="Sylfaen" w:hAnsi="Sylfaen"/>
          <w:sz w:val="20"/>
          <w:lang w:val="ka-GE"/>
        </w:rPr>
      </w:pPr>
      <w:r w:rsidRPr="00A57AB9">
        <w:rPr>
          <w:rFonts w:ascii="Sylfaen" w:hAnsi="Sylfaen"/>
          <w:sz w:val="20"/>
          <w:lang w:val="ka-GE"/>
        </w:rPr>
        <w:t>ნებისმიერი უთანხმოება მხარეებმა უნდა გადაწყვიტონ მოლაპარაკების გზით.  შეუთანხმებლობის შემთხვევაში დავა გადაწყდება საერთო სასამართლოებისადმი მიმართვის გზით. წინამდებარე მუხლში მოლაპარაკების გზით დავის გადაწყვეტის თაობაზე დებულების არსებობა, არ უზღუდავს მხარეებს მოლაპარაკების გამართვამდე სასამართლოსადმი მიმართვის შესაძლებლობას.</w:t>
      </w:r>
    </w:p>
    <w:p w14:paraId="41EA752E" w14:textId="5F1127BE" w:rsidR="00AD32E0" w:rsidRDefault="00AD32E0" w:rsidP="00093A9A">
      <w:pPr>
        <w:tabs>
          <w:tab w:val="left" w:pos="9720"/>
        </w:tabs>
        <w:ind w:left="180"/>
        <w:jc w:val="both"/>
        <w:rPr>
          <w:rFonts w:ascii="Sylfaen" w:hAnsi="Sylfaen"/>
          <w:b/>
          <w:sz w:val="20"/>
          <w:lang w:val="ka-GE"/>
        </w:rPr>
      </w:pPr>
    </w:p>
    <w:p w14:paraId="52636130" w14:textId="73876B79" w:rsidR="00AD32E0" w:rsidRPr="00AD32E0" w:rsidRDefault="00AD32E0" w:rsidP="00093A9A">
      <w:pPr>
        <w:tabs>
          <w:tab w:val="left" w:pos="9720"/>
        </w:tabs>
        <w:spacing w:after="200" w:line="276" w:lineRule="auto"/>
        <w:jc w:val="both"/>
        <w:rPr>
          <w:rFonts w:ascii="Sylfaen" w:eastAsia="Times New Roman" w:hAnsi="Sylfaen" w:cs="Times New Roman"/>
          <w:b/>
          <w:noProof/>
          <w:sz w:val="20"/>
          <w:lang w:val="ka-GE"/>
        </w:rPr>
      </w:pPr>
      <w:r>
        <w:rPr>
          <w:rFonts w:ascii="Sylfaen" w:eastAsia="Times New Roman" w:hAnsi="Sylfaen" w:cs="Sylfaen"/>
          <w:b/>
          <w:bCs/>
          <w:noProof/>
          <w:sz w:val="20"/>
          <w:lang w:val="ka-GE"/>
        </w:rPr>
        <w:t>მუხლი 5</w:t>
      </w:r>
      <w:r w:rsidRPr="00AD32E0">
        <w:rPr>
          <w:rFonts w:ascii="Sylfaen" w:eastAsia="Times New Roman" w:hAnsi="Sylfaen" w:cs="Sylfaen"/>
          <w:b/>
          <w:bCs/>
          <w:noProof/>
          <w:sz w:val="20"/>
          <w:lang w:val="ka-GE"/>
        </w:rPr>
        <w:t>. ფორს-მაჟორი</w:t>
      </w:r>
    </w:p>
    <w:p w14:paraId="49943EFC" w14:textId="77777777" w:rsidR="00AD32E0" w:rsidRPr="00AD32E0" w:rsidRDefault="00AD32E0" w:rsidP="00093A9A">
      <w:pPr>
        <w:pStyle w:val="ListParagraph"/>
        <w:numPr>
          <w:ilvl w:val="0"/>
          <w:numId w:val="10"/>
        </w:numPr>
        <w:tabs>
          <w:tab w:val="left" w:pos="630"/>
          <w:tab w:val="left" w:pos="9720"/>
        </w:tabs>
        <w:spacing w:after="200" w:line="276" w:lineRule="auto"/>
        <w:ind w:left="630" w:right="-630" w:hanging="450"/>
        <w:jc w:val="both"/>
        <w:rPr>
          <w:rFonts w:ascii="Sylfaen" w:eastAsia="Times New Roman" w:hAnsi="Sylfaen" w:cs="Times New Roman"/>
          <w:b/>
          <w:noProof/>
          <w:sz w:val="20"/>
          <w:lang w:val="ka-GE"/>
        </w:rPr>
      </w:pPr>
      <w:r w:rsidRPr="00AD32E0">
        <w:rPr>
          <w:rFonts w:ascii="Sylfaen" w:eastAsia="Times New Roman" w:hAnsi="Sylfaen" w:cs="Sylfaen"/>
          <w:noProof/>
          <w:sz w:val="20"/>
          <w:lang w:val="fi-FI"/>
        </w:rPr>
        <w:t>მხარეები თავისუფლდებიან პასუხისმგებლობისგან ვალდებულებების სრული ან/და ნაწილობრივი შეუსრულებლობისათვის დაუძლეველი ძალის მოქმედების შემთხვევაში, რომლის დროსაც შეუძლებელია წინამდებარე ხელშეკრულებით გათვალისწინებული ვალდებულებების შესრულება.</w:t>
      </w:r>
    </w:p>
    <w:p w14:paraId="57412D80" w14:textId="4B123C7D" w:rsidR="00AD32E0" w:rsidRPr="00AD32E0" w:rsidRDefault="00AD32E0" w:rsidP="00093A9A">
      <w:pPr>
        <w:pStyle w:val="ListParagraph"/>
        <w:numPr>
          <w:ilvl w:val="0"/>
          <w:numId w:val="10"/>
        </w:numPr>
        <w:tabs>
          <w:tab w:val="left" w:pos="630"/>
          <w:tab w:val="left" w:pos="9720"/>
        </w:tabs>
        <w:spacing w:after="200" w:line="276" w:lineRule="auto"/>
        <w:ind w:left="630" w:right="-630" w:hanging="450"/>
        <w:jc w:val="both"/>
        <w:rPr>
          <w:rFonts w:ascii="Sylfaen" w:eastAsia="Times New Roman" w:hAnsi="Sylfaen" w:cs="Times New Roman"/>
          <w:noProof/>
          <w:sz w:val="20"/>
          <w:lang w:val="ka-GE"/>
        </w:rPr>
      </w:pPr>
      <w:r w:rsidRPr="00AD32E0">
        <w:rPr>
          <w:rFonts w:ascii="Sylfaen" w:eastAsia="Times New Roman" w:hAnsi="Sylfaen" w:cs="Sylfaen"/>
          <w:noProof/>
          <w:sz w:val="20"/>
          <w:lang w:val="ka-GE"/>
        </w:rPr>
        <w:t>„</w:t>
      </w:r>
      <w:r w:rsidRPr="00AD32E0">
        <w:rPr>
          <w:rFonts w:ascii="Sylfaen" w:eastAsia="Times New Roman" w:hAnsi="Sylfaen" w:cs="Sylfaen"/>
          <w:noProof/>
          <w:sz w:val="20"/>
          <w:lang w:val="fi-FI"/>
        </w:rPr>
        <w:t>დაუძლეველი ძალის</w:t>
      </w:r>
      <w:r w:rsidRPr="00AD32E0">
        <w:rPr>
          <w:rFonts w:ascii="Sylfaen" w:eastAsia="Times New Roman" w:hAnsi="Sylfaen" w:cs="Sylfaen"/>
          <w:noProof/>
          <w:sz w:val="20"/>
          <w:lang w:val="ka-GE"/>
        </w:rPr>
        <w:t>“</w:t>
      </w:r>
      <w:r w:rsidRPr="00AD32E0">
        <w:rPr>
          <w:rFonts w:ascii="Sylfaen" w:eastAsia="Times New Roman" w:hAnsi="Sylfaen" w:cs="Sylfaen"/>
          <w:noProof/>
          <w:sz w:val="20"/>
          <w:lang w:val="fi-FI"/>
        </w:rPr>
        <w:t xml:space="preserve"> ქვეშ იგულისხმება გარემოებები, რომლებიც არ არსებობდნენ და რომელთა გათვალისწინება მხარეებს არ შეეძლოთ წინამდებარე ხელშეკრულების დადების დროს, ასევე რომელთა დადგომა, ზემოქმედების თავიდან აცილება და</w:t>
      </w:r>
      <w:r w:rsidRPr="00AD32E0">
        <w:rPr>
          <w:rFonts w:ascii="Sylfaen" w:eastAsia="Times New Roman" w:hAnsi="Sylfaen" w:cs="Sylfaen"/>
          <w:noProof/>
          <w:sz w:val="20"/>
          <w:lang w:val="ka-GE"/>
        </w:rPr>
        <w:t xml:space="preserve"> </w:t>
      </w:r>
      <w:r w:rsidRPr="00AD32E0">
        <w:rPr>
          <w:rFonts w:ascii="Sylfaen" w:eastAsia="Times New Roman" w:hAnsi="Sylfaen" w:cs="Sylfaen"/>
          <w:noProof/>
          <w:sz w:val="20"/>
          <w:lang w:val="fi-FI"/>
        </w:rPr>
        <w:t xml:space="preserve">გადალახვა მხარეებს არ </w:t>
      </w:r>
      <w:r w:rsidRPr="00AD32E0">
        <w:rPr>
          <w:rFonts w:ascii="Sylfaen" w:eastAsia="Times New Roman" w:hAnsi="Sylfaen" w:cs="Sylfaen"/>
          <w:noProof/>
          <w:sz w:val="20"/>
          <w:lang w:val="ka-GE"/>
        </w:rPr>
        <w:t>შეეძლოთ</w:t>
      </w:r>
      <w:r w:rsidRPr="00AD32E0">
        <w:rPr>
          <w:rFonts w:ascii="Sylfaen" w:eastAsia="Times New Roman" w:hAnsi="Sylfaen" w:cs="Sylfaen"/>
          <w:noProof/>
          <w:sz w:val="20"/>
          <w:lang w:val="fi-FI"/>
        </w:rPr>
        <w:t xml:space="preserve">, კერძოდ: </w:t>
      </w:r>
      <w:bookmarkStart w:id="0" w:name="_GoBack"/>
      <w:r w:rsidR="003855F9">
        <w:rPr>
          <w:rFonts w:ascii="Sylfaen" w:eastAsia="Times New Roman" w:hAnsi="Sylfaen" w:cs="Sylfaen"/>
          <w:noProof/>
          <w:sz w:val="20"/>
          <w:lang w:val="ka-GE"/>
        </w:rPr>
        <w:t xml:space="preserve">პანდემია/ეპიდემია, </w:t>
      </w:r>
      <w:bookmarkEnd w:id="0"/>
      <w:r w:rsidRPr="00AD32E0">
        <w:rPr>
          <w:rFonts w:ascii="Sylfaen" w:eastAsia="Times New Roman" w:hAnsi="Sylfaen" w:cs="Sylfaen"/>
          <w:noProof/>
          <w:sz w:val="20"/>
          <w:lang w:val="fi-FI"/>
        </w:rPr>
        <w:t>წყალდიდობა,</w:t>
      </w:r>
      <w:r w:rsidRPr="00AD32E0">
        <w:rPr>
          <w:rFonts w:ascii="Sylfaen" w:eastAsia="Times New Roman" w:hAnsi="Sylfaen" w:cs="Sylfaen"/>
          <w:noProof/>
          <w:sz w:val="20"/>
          <w:lang w:val="ka-GE"/>
        </w:rPr>
        <w:t xml:space="preserve"> დიდთოვლობა,</w:t>
      </w:r>
      <w:r w:rsidRPr="00AD32E0">
        <w:rPr>
          <w:rFonts w:ascii="Sylfaen" w:eastAsia="Times New Roman" w:hAnsi="Sylfaen" w:cs="Sylfaen"/>
          <w:noProof/>
          <w:sz w:val="20"/>
          <w:lang w:val="fi-FI"/>
        </w:rPr>
        <w:t xml:space="preserve"> მიწისძვრა, აფეთქებები, ხანძარი, ავარია, ემბარგო, ომი და საომარი მოქმედებები, ბლოკადა, გაფიცვები, კანონმდებლობის ცვლილებები, რომლებიც აუარესებენ წინამდებარე ხელშეკრულების მხარეების სამართლებრივ სტატუსსა და რეჟიმს და სხვა გარემოებები.</w:t>
      </w:r>
      <w:r w:rsidRPr="00AD32E0">
        <w:rPr>
          <w:rFonts w:ascii="Sylfaen" w:eastAsia="Times New Roman" w:hAnsi="Sylfaen" w:cs="Sylfaen"/>
          <w:noProof/>
          <w:sz w:val="20"/>
          <w:lang w:val="ka-GE"/>
        </w:rPr>
        <w:t xml:space="preserve"> </w:t>
      </w:r>
    </w:p>
    <w:p w14:paraId="302E843C" w14:textId="77777777" w:rsidR="00AD32E0" w:rsidRDefault="00AD32E0" w:rsidP="00093A9A">
      <w:pPr>
        <w:tabs>
          <w:tab w:val="left" w:pos="9720"/>
        </w:tabs>
        <w:ind w:left="180"/>
        <w:jc w:val="both"/>
        <w:rPr>
          <w:rFonts w:ascii="Sylfaen" w:hAnsi="Sylfaen"/>
          <w:b/>
          <w:sz w:val="20"/>
          <w:lang w:val="ka-GE"/>
        </w:rPr>
      </w:pPr>
    </w:p>
    <w:p w14:paraId="4F60F0CA" w14:textId="23B8EABF" w:rsidR="003E2D35" w:rsidRPr="00A57AB9" w:rsidRDefault="003E2D35" w:rsidP="00093A9A">
      <w:pPr>
        <w:tabs>
          <w:tab w:val="left" w:pos="9720"/>
        </w:tabs>
        <w:ind w:left="180"/>
        <w:jc w:val="both"/>
        <w:rPr>
          <w:rFonts w:ascii="Sylfaen" w:hAnsi="Sylfaen"/>
          <w:b/>
          <w:sz w:val="20"/>
          <w:lang w:val="ka-GE"/>
        </w:rPr>
      </w:pPr>
      <w:r w:rsidRPr="00A57AB9">
        <w:rPr>
          <w:rFonts w:ascii="Sylfaen" w:hAnsi="Sylfaen"/>
          <w:b/>
          <w:sz w:val="20"/>
          <w:lang w:val="ka-GE"/>
        </w:rPr>
        <w:t>მუხლი</w:t>
      </w:r>
      <w:r w:rsidR="00AD32E0">
        <w:rPr>
          <w:rFonts w:ascii="Sylfaen" w:hAnsi="Sylfaen"/>
          <w:b/>
          <w:sz w:val="20"/>
          <w:lang w:val="ka-GE"/>
        </w:rPr>
        <w:t xml:space="preserve"> 6,</w:t>
      </w:r>
      <w:r w:rsidRPr="00A57AB9">
        <w:rPr>
          <w:rFonts w:ascii="Sylfaen" w:hAnsi="Sylfaen"/>
          <w:b/>
          <w:sz w:val="20"/>
          <w:lang w:val="ka-GE"/>
        </w:rPr>
        <w:t xml:space="preserve"> დასკვნითი დებულებები</w:t>
      </w:r>
    </w:p>
    <w:p w14:paraId="7A08AEF4" w14:textId="65FD5B0B" w:rsidR="009047BD" w:rsidRPr="00A57AB9" w:rsidRDefault="009047BD" w:rsidP="00093A9A">
      <w:pPr>
        <w:pStyle w:val="ListParagraph"/>
        <w:numPr>
          <w:ilvl w:val="0"/>
          <w:numId w:val="7"/>
        </w:numPr>
        <w:tabs>
          <w:tab w:val="left" w:pos="9720"/>
        </w:tabs>
        <w:ind w:left="720" w:hanging="540"/>
        <w:jc w:val="both"/>
        <w:rPr>
          <w:rFonts w:ascii="Sylfaen" w:hAnsi="Sylfaen"/>
          <w:sz w:val="20"/>
          <w:lang w:val="ka-GE"/>
        </w:rPr>
      </w:pPr>
      <w:r w:rsidRPr="00A57AB9">
        <w:rPr>
          <w:rFonts w:ascii="Sylfaen" w:hAnsi="Sylfaen"/>
          <w:sz w:val="20"/>
          <w:lang w:val="ka-GE"/>
        </w:rPr>
        <w:t>წინამდებარე ხელშეკრულება ძალაში შედის მისი ხელმოწერის დღიდან და ძალაშია მხარეთა მიერ უფლება-მოვალეობათა სრულ შესრულებამდე.</w:t>
      </w:r>
    </w:p>
    <w:p w14:paraId="439AA636" w14:textId="0ED9CFF2" w:rsidR="009047BD" w:rsidRPr="00A57AB9" w:rsidRDefault="009047BD" w:rsidP="00093A9A">
      <w:pPr>
        <w:pStyle w:val="ListParagraph"/>
        <w:numPr>
          <w:ilvl w:val="0"/>
          <w:numId w:val="7"/>
        </w:numPr>
        <w:tabs>
          <w:tab w:val="left" w:pos="9720"/>
        </w:tabs>
        <w:ind w:left="720" w:hanging="540"/>
        <w:jc w:val="both"/>
        <w:rPr>
          <w:rFonts w:ascii="Sylfaen" w:hAnsi="Sylfaen"/>
          <w:sz w:val="20"/>
          <w:lang w:val="ka-GE"/>
        </w:rPr>
      </w:pPr>
      <w:r w:rsidRPr="00A57AB9">
        <w:rPr>
          <w:rFonts w:ascii="Sylfaen" w:hAnsi="Sylfaen"/>
          <w:sz w:val="20"/>
          <w:lang w:val="ka-GE"/>
        </w:rPr>
        <w:t>წინამდებარე ხელშეკრულების შესრულების ადგილია ქ</w:t>
      </w:r>
      <w:r w:rsidR="00093A9A">
        <w:rPr>
          <w:rFonts w:ascii="Sylfaen" w:hAnsi="Sylfaen"/>
          <w:sz w:val="20"/>
          <w:lang w:val="ka-GE"/>
        </w:rPr>
        <w:t xml:space="preserve">ალაქი </w:t>
      </w:r>
      <w:r w:rsidR="00093A9A" w:rsidRPr="00093A9A">
        <w:rPr>
          <w:rFonts w:ascii="Sylfaen" w:hAnsi="Sylfaen"/>
          <w:sz w:val="20"/>
          <w:highlight w:val="yellow"/>
          <w:lang w:val="ka-GE"/>
        </w:rPr>
        <w:t>---.</w:t>
      </w:r>
    </w:p>
    <w:p w14:paraId="2F79926C" w14:textId="77777777" w:rsidR="009047BD" w:rsidRPr="00A57AB9" w:rsidRDefault="009047BD" w:rsidP="00093A9A">
      <w:pPr>
        <w:pStyle w:val="ListParagraph"/>
        <w:numPr>
          <w:ilvl w:val="0"/>
          <w:numId w:val="7"/>
        </w:numPr>
        <w:tabs>
          <w:tab w:val="left" w:pos="9720"/>
        </w:tabs>
        <w:ind w:left="720" w:hanging="540"/>
        <w:jc w:val="both"/>
        <w:rPr>
          <w:rFonts w:ascii="Sylfaen" w:hAnsi="Sylfaen"/>
          <w:sz w:val="20"/>
          <w:lang w:val="ka-GE"/>
        </w:rPr>
      </w:pPr>
      <w:r w:rsidRPr="00A57AB9">
        <w:rPr>
          <w:rFonts w:ascii="Sylfaen" w:hAnsi="Sylfaen"/>
          <w:sz w:val="20"/>
          <w:lang w:val="ka-GE"/>
        </w:rPr>
        <w:t>ხელშეკრულება შედგენილია ქართულ ენაზე, თანაბარი იურიდიული ძალის მქონე  3 ეგზემპლარად, რომელთაგან თითო გადაეცემათ მხარეებს, ხოლო ერთი წარედგინება საჯარო რეესტრის ეროვნულ სააგენტოს.</w:t>
      </w:r>
    </w:p>
    <w:p w14:paraId="78EC5C54" w14:textId="09E79C20" w:rsidR="00EB2751" w:rsidRPr="00A44DA2" w:rsidRDefault="00BC5FEA" w:rsidP="00093A9A">
      <w:pPr>
        <w:pStyle w:val="ListParagraph"/>
        <w:numPr>
          <w:ilvl w:val="0"/>
          <w:numId w:val="7"/>
        </w:numPr>
        <w:tabs>
          <w:tab w:val="left" w:pos="9720"/>
        </w:tabs>
        <w:ind w:left="720" w:hanging="540"/>
        <w:jc w:val="both"/>
        <w:rPr>
          <w:rFonts w:ascii="Sylfaen" w:hAnsi="Sylfaen"/>
          <w:sz w:val="20"/>
          <w:lang w:val="ka-GE"/>
        </w:rPr>
      </w:pPr>
      <w:r w:rsidRPr="00A57AB9">
        <w:rPr>
          <w:rFonts w:ascii="Sylfaen" w:hAnsi="Sylfaen"/>
          <w:sz w:val="20"/>
          <w:lang w:val="ka-GE"/>
        </w:rPr>
        <w:t>ურთიერთობები, რომლებიც არ არის დარეგულირებული წინამდებარე ხელშეკრულებით, გადაწყდება საქართველოს მოქმედი კანონმდებლობის შესაბამისად.</w:t>
      </w:r>
    </w:p>
    <w:p w14:paraId="06AD5328" w14:textId="425BDC4E" w:rsidR="00474AB7" w:rsidRDefault="00474AB7" w:rsidP="00093A9A">
      <w:pPr>
        <w:tabs>
          <w:tab w:val="left" w:pos="9720"/>
        </w:tabs>
        <w:ind w:left="720"/>
        <w:jc w:val="both"/>
        <w:rPr>
          <w:rFonts w:ascii="Sylfaen" w:hAnsi="Sylfaen"/>
          <w:sz w:val="20"/>
          <w:lang w:val="ka-GE"/>
        </w:rPr>
      </w:pPr>
    </w:p>
    <w:p w14:paraId="5B1FF559" w14:textId="754B618D" w:rsidR="004658D5" w:rsidRPr="00093A9A" w:rsidRDefault="00474AB7" w:rsidP="00093A9A">
      <w:pPr>
        <w:tabs>
          <w:tab w:val="left" w:pos="9720"/>
        </w:tabs>
        <w:jc w:val="both"/>
        <w:rPr>
          <w:rFonts w:ascii="Sylfaen" w:hAnsi="Sylfaen"/>
          <w:b/>
          <w:sz w:val="20"/>
          <w:lang w:val="ka-GE"/>
        </w:rPr>
      </w:pPr>
      <w:r w:rsidRPr="00093A9A">
        <w:rPr>
          <w:rFonts w:ascii="Sylfaen" w:hAnsi="Sylfaen"/>
          <w:b/>
          <w:sz w:val="20"/>
          <w:lang w:val="ka-GE"/>
        </w:rPr>
        <w:t xml:space="preserve">              </w:t>
      </w:r>
      <w:r w:rsidR="009555DC" w:rsidRPr="00093A9A">
        <w:rPr>
          <w:rFonts w:ascii="Sylfaen" w:hAnsi="Sylfaen"/>
          <w:b/>
          <w:sz w:val="20"/>
          <w:lang w:val="ka-GE"/>
        </w:rPr>
        <w:t xml:space="preserve">  </w:t>
      </w:r>
      <w:r w:rsidR="00EB2751" w:rsidRPr="00093A9A">
        <w:rPr>
          <w:rFonts w:ascii="Sylfaen" w:hAnsi="Sylfaen"/>
          <w:b/>
          <w:sz w:val="20"/>
          <w:lang w:val="ka-GE"/>
        </w:rPr>
        <w:t>გამყიდველი                                                                                                                   მყიდველ</w:t>
      </w:r>
      <w:r w:rsidR="00A57AB9" w:rsidRPr="00093A9A">
        <w:rPr>
          <w:rFonts w:ascii="Sylfaen" w:hAnsi="Sylfaen"/>
          <w:b/>
          <w:sz w:val="20"/>
          <w:lang w:val="ka-GE"/>
        </w:rPr>
        <w:t>ი</w:t>
      </w:r>
    </w:p>
    <w:sectPr w:rsidR="004658D5" w:rsidRPr="00093A9A" w:rsidSect="00093A9A">
      <w:pgSz w:w="12240" w:h="15840"/>
      <w:pgMar w:top="144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F5A"/>
    <w:multiLevelType w:val="hybridMultilevel"/>
    <w:tmpl w:val="5CB8717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812458F"/>
    <w:multiLevelType w:val="hybridMultilevel"/>
    <w:tmpl w:val="850CB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338A"/>
    <w:multiLevelType w:val="hybridMultilevel"/>
    <w:tmpl w:val="D520CFEA"/>
    <w:lvl w:ilvl="0" w:tplc="3E56F1F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2784B"/>
    <w:multiLevelType w:val="hybridMultilevel"/>
    <w:tmpl w:val="37F897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AD09DB"/>
    <w:multiLevelType w:val="hybridMultilevel"/>
    <w:tmpl w:val="A13635B8"/>
    <w:lvl w:ilvl="0" w:tplc="3E56F1F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252B36"/>
    <w:multiLevelType w:val="hybridMultilevel"/>
    <w:tmpl w:val="E5DE2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F50A6B"/>
    <w:multiLevelType w:val="hybridMultilevel"/>
    <w:tmpl w:val="930CD14C"/>
    <w:lvl w:ilvl="0" w:tplc="A0E4BB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84CE7"/>
    <w:multiLevelType w:val="hybridMultilevel"/>
    <w:tmpl w:val="F0163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612D7"/>
    <w:multiLevelType w:val="hybridMultilevel"/>
    <w:tmpl w:val="D744DB9E"/>
    <w:lvl w:ilvl="0" w:tplc="3E56F1FE">
      <w:start w:val="1"/>
      <w:numFmt w:val="decimal"/>
      <w:lvlText w:val="%1."/>
      <w:lvlJc w:val="left"/>
      <w:pPr>
        <w:ind w:left="162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8BF0EF5"/>
    <w:multiLevelType w:val="hybridMultilevel"/>
    <w:tmpl w:val="1CF0A906"/>
    <w:lvl w:ilvl="0" w:tplc="3E56F1F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9"/>
  </w:num>
  <w:num w:numId="6">
    <w:abstractNumId w:val="2"/>
  </w:num>
  <w:num w:numId="7">
    <w:abstractNumId w:val="8"/>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A5"/>
    <w:rsid w:val="00077BB7"/>
    <w:rsid w:val="00093A9A"/>
    <w:rsid w:val="000D028E"/>
    <w:rsid w:val="0013051E"/>
    <w:rsid w:val="0016042C"/>
    <w:rsid w:val="00166E23"/>
    <w:rsid w:val="002016BC"/>
    <w:rsid w:val="002873C7"/>
    <w:rsid w:val="003057C9"/>
    <w:rsid w:val="00352F5F"/>
    <w:rsid w:val="00366043"/>
    <w:rsid w:val="003855F9"/>
    <w:rsid w:val="003923F2"/>
    <w:rsid w:val="003A6E56"/>
    <w:rsid w:val="003E2D35"/>
    <w:rsid w:val="00413A98"/>
    <w:rsid w:val="00443D5A"/>
    <w:rsid w:val="0046518E"/>
    <w:rsid w:val="004658D5"/>
    <w:rsid w:val="00466E65"/>
    <w:rsid w:val="00474AB7"/>
    <w:rsid w:val="00551824"/>
    <w:rsid w:val="005558A4"/>
    <w:rsid w:val="005C65B7"/>
    <w:rsid w:val="00616B50"/>
    <w:rsid w:val="00617C20"/>
    <w:rsid w:val="00626C5C"/>
    <w:rsid w:val="00662EEC"/>
    <w:rsid w:val="006633B4"/>
    <w:rsid w:val="00681FE7"/>
    <w:rsid w:val="006B52EA"/>
    <w:rsid w:val="00727EB3"/>
    <w:rsid w:val="0073569D"/>
    <w:rsid w:val="007A3DA5"/>
    <w:rsid w:val="007E5FB4"/>
    <w:rsid w:val="008046A8"/>
    <w:rsid w:val="00840DF5"/>
    <w:rsid w:val="00861637"/>
    <w:rsid w:val="00880185"/>
    <w:rsid w:val="008A0780"/>
    <w:rsid w:val="008A3188"/>
    <w:rsid w:val="008B3873"/>
    <w:rsid w:val="009047BD"/>
    <w:rsid w:val="00911B1C"/>
    <w:rsid w:val="00911CE0"/>
    <w:rsid w:val="009213D2"/>
    <w:rsid w:val="00921DF0"/>
    <w:rsid w:val="009555DC"/>
    <w:rsid w:val="00A14EF7"/>
    <w:rsid w:val="00A35E9B"/>
    <w:rsid w:val="00A44DA2"/>
    <w:rsid w:val="00A57AB9"/>
    <w:rsid w:val="00A612EB"/>
    <w:rsid w:val="00A84037"/>
    <w:rsid w:val="00AC63AD"/>
    <w:rsid w:val="00AD32E0"/>
    <w:rsid w:val="00B942D4"/>
    <w:rsid w:val="00BC2188"/>
    <w:rsid w:val="00BC5FEA"/>
    <w:rsid w:val="00BC7E52"/>
    <w:rsid w:val="00BF7D75"/>
    <w:rsid w:val="00C81B1C"/>
    <w:rsid w:val="00C97E45"/>
    <w:rsid w:val="00CD08CF"/>
    <w:rsid w:val="00CD480D"/>
    <w:rsid w:val="00D95F52"/>
    <w:rsid w:val="00E01D66"/>
    <w:rsid w:val="00E2511C"/>
    <w:rsid w:val="00E80B1E"/>
    <w:rsid w:val="00EB2751"/>
    <w:rsid w:val="00ED2FA4"/>
    <w:rsid w:val="00EF070B"/>
    <w:rsid w:val="00EF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1FC0"/>
  <w15:chartTrackingRefBased/>
  <w15:docId w15:val="{8F5DC939-9D20-4FE6-9BF3-AB204320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GLG LEGAL</cp:lastModifiedBy>
  <cp:revision>114</cp:revision>
  <dcterms:created xsi:type="dcterms:W3CDTF">2022-08-11T09:49:00Z</dcterms:created>
  <dcterms:modified xsi:type="dcterms:W3CDTF">2024-02-28T09:48:00Z</dcterms:modified>
</cp:coreProperties>
</file>